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240" w:lineRule="auto"/>
        <w:jc w:val="center"/>
        <w:rPr>
          <w:b w:val="1"/>
          <w:color w:val="405965"/>
          <w:sz w:val="28"/>
          <w:szCs w:val="28"/>
        </w:rPr>
      </w:pPr>
      <w:bookmarkStart w:colFirst="0" w:colLast="0" w:name="_xmsrwwh7jk96" w:id="0"/>
      <w:bookmarkEnd w:id="0"/>
      <w:r w:rsidDel="00000000" w:rsidR="00000000" w:rsidRPr="00000000">
        <w:rPr>
          <w:b w:val="1"/>
          <w:color w:val="405965"/>
          <w:sz w:val="28"/>
          <w:szCs w:val="28"/>
          <w:rtl w:val="0"/>
        </w:rPr>
        <w:t xml:space="preserve">Предельная величина базы для исчисления страховых взносов в 2017-2019 годах</w:t>
      </w:r>
    </w:p>
    <w:tbl>
      <w:tblPr>
        <w:tblStyle w:val="Table1"/>
        <w:tblW w:w="8895.0" w:type="dxa"/>
        <w:jc w:val="left"/>
        <w:tblInd w:w="160.0" w:type="pct"/>
        <w:tblLayout w:type="fixed"/>
        <w:tblLook w:val="0600"/>
      </w:tblPr>
      <w:tblGrid>
        <w:gridCol w:w="1350"/>
        <w:gridCol w:w="2400"/>
        <w:gridCol w:w="5145"/>
        <w:tblGridChange w:id="0">
          <w:tblGrid>
            <w:gridCol w:w="1350"/>
            <w:gridCol w:w="2400"/>
            <w:gridCol w:w="5145"/>
          </w:tblGrid>
        </w:tblGridChange>
      </w:tblGrid>
      <w:tr>
        <w:trPr>
          <w:trHeight w:val="1200" w:hRule="atLeast"/>
        </w:trPr>
        <w:tc>
          <w:tcPr>
            <w:tcBorders>
              <w:bottom w:color="e6e7e8" w:space="0" w:sz="6" w:val="single"/>
            </w:tcBorders>
            <w:shd w:fill="fbfbfb" w:val="clear"/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Период</w:t>
            </w:r>
          </w:p>
        </w:tc>
        <w:tc>
          <w:tcPr>
            <w:tcBorders>
              <w:bottom w:color="e6e7e8" w:space="0" w:sz="6" w:val="single"/>
            </w:tcBorders>
            <w:shd w:fill="fbfbfb" w:val="clear"/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Обязательное пенсионное страхование (ОПС)</w:t>
            </w:r>
          </w:p>
        </w:tc>
        <w:tc>
          <w:tcPr>
            <w:tcBorders>
              <w:bottom w:color="e6e7e8" w:space="0" w:sz="6" w:val="single"/>
            </w:tcBorders>
            <w:shd w:fill="fbfbfb" w:val="clear"/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Обязательное социальное страхование на случай временной нетрудоспособности в связи с материнством (ОСС)</w:t>
            </w:r>
          </w:p>
        </w:tc>
      </w:tr>
      <w:tr>
        <w:trPr>
          <w:trHeight w:val="975" w:hRule="atLeast"/>
        </w:trPr>
        <w:tc>
          <w:tcPr>
            <w:tcBorders>
              <w:bottom w:color="e6e7e8" w:space="0" w:sz="6" w:val="single"/>
            </w:tcBorders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2017 год</w:t>
            </w:r>
          </w:p>
        </w:tc>
        <w:tc>
          <w:tcPr>
            <w:tcBorders>
              <w:bottom w:color="e6e7e8" w:space="0" w:sz="6" w:val="single"/>
            </w:tcBorders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876 000 руб.</w:t>
            </w:r>
          </w:p>
        </w:tc>
        <w:tc>
          <w:tcPr>
            <w:tcBorders>
              <w:bottom w:color="e6e7e8" w:space="0" w:sz="6" w:val="single"/>
            </w:tcBorders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755 000 руб.</w:t>
            </w:r>
          </w:p>
        </w:tc>
      </w:tr>
      <w:tr>
        <w:trPr>
          <w:trHeight w:val="1320" w:hRule="atLeast"/>
        </w:trPr>
        <w:tc>
          <w:tcPr>
            <w:tcBorders>
              <w:bottom w:color="e6e7e8" w:space="0" w:sz="6" w:val="single"/>
            </w:tcBorders>
            <w:shd w:fill="fbfbfb" w:val="clear"/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2018 год</w:t>
            </w:r>
          </w:p>
        </w:tc>
        <w:tc>
          <w:tcPr>
            <w:tcBorders>
              <w:bottom w:color="e6e7e8" w:space="0" w:sz="6" w:val="single"/>
            </w:tcBorders>
            <w:shd w:fill="fbfbfb" w:val="clear"/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1 021 000 руб.</w:t>
            </w:r>
          </w:p>
        </w:tc>
        <w:tc>
          <w:tcPr>
            <w:tcBorders>
              <w:bottom w:color="e6e7e8" w:space="0" w:sz="6" w:val="single"/>
            </w:tcBorders>
            <w:shd w:fill="fbfbfb" w:val="clear"/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7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815 000 руб.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Ind w:w="160.0" w:type="pct"/>
        <w:tblLayout w:type="fixed"/>
        <w:tblLook w:val="0600"/>
      </w:tblPr>
      <w:tblGrid>
        <w:gridCol w:w="1410"/>
        <w:gridCol w:w="2370"/>
        <w:gridCol w:w="5115"/>
        <w:tblGridChange w:id="0">
          <w:tblGrid>
            <w:gridCol w:w="1410"/>
            <w:gridCol w:w="2370"/>
            <w:gridCol w:w="5115"/>
          </w:tblGrid>
        </w:tblGridChange>
      </w:tblGrid>
      <w:tr>
        <w:trPr>
          <w:trHeight w:val="735" w:hRule="atLeast"/>
        </w:trPr>
        <w:tc>
          <w:tcPr>
            <w:tcBorders>
              <w:bottom w:color="e6e7e8" w:space="0" w:sz="6" w:val="single"/>
            </w:tcBorders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4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2019 год</w:t>
            </w:r>
          </w:p>
        </w:tc>
        <w:tc>
          <w:tcPr>
            <w:tcBorders>
              <w:bottom w:color="e6e7e8" w:space="0" w:sz="6" w:val="single"/>
            </w:tcBorders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4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1 150 000 руб.</w:t>
            </w:r>
          </w:p>
        </w:tc>
        <w:tc>
          <w:tcPr>
            <w:tcBorders>
              <w:bottom w:color="e6e7e8" w:space="0" w:sz="6" w:val="single"/>
            </w:tcBorders>
            <w:tcMar>
              <w:top w:w="220.0" w:type="dxa"/>
              <w:left w:w="160.0" w:type="dxa"/>
              <w:bottom w:w="2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460" w:before="160" w:lineRule="auto"/>
              <w:rPr>
                <w:color w:val="405965"/>
              </w:rPr>
            </w:pPr>
            <w:r w:rsidDel="00000000" w:rsidR="00000000" w:rsidRPr="00000000">
              <w:rPr>
                <w:color w:val="405965"/>
                <w:rtl w:val="0"/>
              </w:rPr>
              <w:t xml:space="preserve">865 000 руб.</w:t>
            </w:r>
          </w:p>
        </w:tc>
      </w:tr>
    </w:tbl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color w:val="405965"/>
        </w:rPr>
      </w:pPr>
      <w:r w:rsidDel="00000000" w:rsidR="00000000" w:rsidRPr="00000000">
        <w:rPr>
          <w:color w:val="405965"/>
          <w:rtl w:val="0"/>
        </w:rPr>
        <w:t xml:space="preserve">Кроме того, на период 2017 - 2021 годов предельная величина базы для исчисления страховых взносов на обязательное пенсионное страхование ежегодно увеличивается на установленные на соответствующий год повышающие коэффициенты: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color w:val="405965"/>
          <w:rtl w:val="0"/>
        </w:rPr>
        <w:t xml:space="preserve">в 2017 году - 1,9;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05965"/>
          <w:rtl w:val="0"/>
        </w:rPr>
        <w:t xml:space="preserve">в 2018 году - 2,0;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05965"/>
          <w:rtl w:val="0"/>
        </w:rPr>
        <w:t xml:space="preserve">в 2019 году - 2,1;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05965"/>
          <w:rtl w:val="0"/>
        </w:rPr>
        <w:t xml:space="preserve">в 2020 году - 2,2;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beforeAutospacing="0" w:lineRule="auto"/>
        <w:ind w:left="720" w:hanging="360"/>
      </w:pPr>
      <w:r w:rsidDel="00000000" w:rsidR="00000000" w:rsidRPr="00000000">
        <w:rPr>
          <w:color w:val="405965"/>
          <w:rtl w:val="0"/>
        </w:rPr>
        <w:t xml:space="preserve">в 2021 году - 2,3.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b w:val="0"/>
        <w:i w:val="0"/>
        <w:smallCaps w:val="0"/>
        <w:strike w:val="0"/>
        <w:color w:val="405965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